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8D" w:rsidRDefault="008D0E8D" w:rsidP="00A4508E">
      <w:pPr>
        <w:pStyle w:val="a9"/>
        <w:rPr>
          <w:b/>
        </w:rPr>
      </w:pPr>
      <w:bookmarkStart w:id="0" w:name="_Toc459456252"/>
    </w:p>
    <w:p w:rsidR="008D0E8D" w:rsidRDefault="008D0E8D" w:rsidP="00A4508E">
      <w:pPr>
        <w:pStyle w:val="a9"/>
        <w:rPr>
          <w:b/>
        </w:rPr>
      </w:pPr>
    </w:p>
    <w:bookmarkEnd w:id="0"/>
    <w:p w:rsidR="009700B3" w:rsidRDefault="009700B3" w:rsidP="009700B3">
      <w:pPr>
        <w:pStyle w:val="a9"/>
        <w:jc w:val="both"/>
        <w:rPr>
          <w:sz w:val="20"/>
          <w:szCs w:val="20"/>
        </w:rPr>
      </w:pPr>
    </w:p>
    <w:p w:rsidR="009700B3" w:rsidRDefault="009700B3" w:rsidP="009700B3">
      <w:pPr>
        <w:pStyle w:val="a9"/>
        <w:rPr>
          <w:b/>
        </w:rPr>
      </w:pPr>
      <w:r w:rsidRPr="009700B3">
        <w:rPr>
          <w:b/>
        </w:rPr>
        <w:t>Контрольная деятельность при применении технических регламентов в сфере железнодорожного транспорта</w:t>
      </w:r>
    </w:p>
    <w:p w:rsidR="009700B3" w:rsidRPr="009700B3" w:rsidRDefault="009700B3" w:rsidP="009700B3">
      <w:pPr>
        <w:pStyle w:val="a9"/>
        <w:rPr>
          <w:b/>
        </w:rPr>
      </w:pPr>
    </w:p>
    <w:p w:rsidR="009700B3" w:rsidRPr="009700B3" w:rsidRDefault="00A044D5" w:rsidP="009700B3">
      <w:pPr>
        <w:pStyle w:val="a9"/>
        <w:jc w:val="both"/>
        <w:rPr>
          <w:b/>
        </w:rPr>
      </w:pPr>
      <w:r>
        <w:rPr>
          <w:b/>
        </w:rPr>
        <w:t>Амино</w:t>
      </w:r>
      <w:bookmarkStart w:id="1" w:name="_GoBack"/>
      <w:bookmarkEnd w:id="1"/>
      <w:r>
        <w:rPr>
          <w:b/>
        </w:rPr>
        <w:t>ва Г.Г.</w:t>
      </w:r>
    </w:p>
    <w:p w:rsidR="008E4BE8" w:rsidRDefault="008E4BE8" w:rsidP="009700B3">
      <w:pPr>
        <w:pStyle w:val="a9"/>
        <w:jc w:val="both"/>
        <w:rPr>
          <w:sz w:val="20"/>
          <w:szCs w:val="20"/>
        </w:rPr>
      </w:pPr>
    </w:p>
    <w:p w:rsidR="009700B3" w:rsidRPr="008E4BE8" w:rsidRDefault="009700B3" w:rsidP="008E4BE8">
      <w:pPr>
        <w:pStyle w:val="a9"/>
        <w:rPr>
          <w:i/>
        </w:rPr>
      </w:pPr>
      <w:r w:rsidRPr="008E4BE8">
        <w:rPr>
          <w:i/>
        </w:rPr>
        <w:t>В условиях, когда в сфере железнодорожного транспорта органы сертификации и органы инспекции совпадают, эффективным механизмом контроля применения технических регламентов Таможенного союза могло бы стать активное привлечение экспертов для проведения контрольных мероприятий.</w:t>
      </w:r>
    </w:p>
    <w:p w:rsidR="008E4BE8" w:rsidRDefault="008E4BE8" w:rsidP="009700B3">
      <w:pPr>
        <w:pStyle w:val="a9"/>
        <w:jc w:val="both"/>
        <w:rPr>
          <w:sz w:val="20"/>
          <w:szCs w:val="20"/>
        </w:rPr>
      </w:pPr>
    </w:p>
    <w:p w:rsidR="008E4BE8" w:rsidRDefault="008E4BE8" w:rsidP="009700B3">
      <w:pPr>
        <w:pStyle w:val="a9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6D0CF289" wp14:editId="24C17605">
            <wp:extent cx="6645910" cy="4427838"/>
            <wp:effectExtent l="0" t="0" r="2540" b="0"/>
            <wp:docPr id="1" name="Рисунок 1" descr="http://gtrk-saratov.ru/images/cms/data/2016/February/1902/e_lektr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rk-saratov.ru/images/cms/data/2016/February/1902/e_lektrich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B3" w:rsidRDefault="009700B3" w:rsidP="009700B3">
      <w:pPr>
        <w:pStyle w:val="a9"/>
        <w:jc w:val="both"/>
        <w:rPr>
          <w:sz w:val="20"/>
          <w:szCs w:val="20"/>
        </w:rPr>
      </w:pPr>
    </w:p>
    <w:p w:rsidR="008E4BE8" w:rsidRDefault="008E4BE8" w:rsidP="009700B3">
      <w:pPr>
        <w:pStyle w:val="a9"/>
        <w:jc w:val="both"/>
        <w:rPr>
          <w:sz w:val="20"/>
          <w:szCs w:val="20"/>
        </w:rPr>
        <w:sectPr w:rsidR="008E4BE8" w:rsidSect="009700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lastRenderedPageBreak/>
        <w:t xml:space="preserve">Основным документом, регламентирующим данный процесс, является постановление Правительства Российской Федерации от 10 июля 2014 г. №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(далее – постановление 636). 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proofErr w:type="gramStart"/>
      <w:r w:rsidRPr="009700B3">
        <w:rPr>
          <w:sz w:val="20"/>
          <w:szCs w:val="20"/>
        </w:rPr>
        <w:t xml:space="preserve">Данное постановление принято в соответствии со статьей 7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которая устанавливает, что органы государственного контроля (надзора), органы муниципального контроля при организации и осуществлении государственного контроля (надзора), </w:t>
      </w:r>
      <w:r w:rsidRPr="009700B3">
        <w:rPr>
          <w:sz w:val="20"/>
          <w:szCs w:val="20"/>
        </w:rPr>
        <w:lastRenderedPageBreak/>
        <w:t>муниципального контроля привлекают экспертов, экспертные организации к проведению мероприятий по контролю</w:t>
      </w:r>
      <w:proofErr w:type="gramEnd"/>
      <w:r w:rsidRPr="009700B3">
        <w:rPr>
          <w:sz w:val="20"/>
          <w:szCs w:val="20"/>
        </w:rPr>
        <w:t xml:space="preserve"> </w:t>
      </w:r>
      <w:proofErr w:type="gramStart"/>
      <w:r w:rsidRPr="009700B3">
        <w:rPr>
          <w:sz w:val="20"/>
          <w:szCs w:val="20"/>
        </w:rPr>
        <w:t>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  <w:proofErr w:type="gramEnd"/>
    </w:p>
    <w:p w:rsidR="008E4BE8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 xml:space="preserve">В целях данной работы был проработан вопрос о правовых и фактических основаниях для привлечения к </w:t>
      </w:r>
      <w:r w:rsidRPr="009700B3">
        <w:rPr>
          <w:sz w:val="20"/>
          <w:szCs w:val="20"/>
        </w:rPr>
        <w:lastRenderedPageBreak/>
        <w:t xml:space="preserve">проведению контрольно-надзорных мероприятий </w:t>
      </w:r>
      <w:proofErr w:type="gramStart"/>
      <w:r w:rsidRPr="009700B3">
        <w:rPr>
          <w:sz w:val="20"/>
          <w:szCs w:val="20"/>
        </w:rPr>
        <w:t>в</w:t>
      </w:r>
      <w:proofErr w:type="gramEnd"/>
      <w:r w:rsidRPr="009700B3">
        <w:rPr>
          <w:sz w:val="20"/>
          <w:szCs w:val="20"/>
        </w:rPr>
        <w:t xml:space="preserve"> </w:t>
      </w:r>
      <w:r w:rsidR="008E4BE8">
        <w:rPr>
          <w:sz w:val="20"/>
          <w:szCs w:val="20"/>
        </w:rPr>
        <w:br/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proofErr w:type="gramStart"/>
      <w:r w:rsidRPr="009700B3">
        <w:rPr>
          <w:sz w:val="20"/>
          <w:szCs w:val="20"/>
        </w:rPr>
        <w:t>качестве</w:t>
      </w:r>
      <w:proofErr w:type="gramEnd"/>
      <w:r w:rsidRPr="009700B3">
        <w:rPr>
          <w:sz w:val="20"/>
          <w:szCs w:val="20"/>
        </w:rPr>
        <w:t xml:space="preserve"> экспертных организаций юридических лиц, аккредитованных в соответствии 412-ФЗ, в частности: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– юридических лиц и индивидуальных предпринимателей, выполняющих работы по оценке соответствия в части проведения инспекционной деятельности (органы инспекции);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– юридических лиц и индивидуальных предпринимателей, проводящих межлабораторные сличительные испытания (провайдеры межлабораторных сличительных испытаний).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При осуществлении аккредитации указанных лиц применяются Критерии аккредитации, установленные приказом Минэкономразвития России от 30.05.2014 № 326, часть II «Критерии аккредитации юридических лиц, индивидуальных предпринимателей, выполняющих работы по оценке соответствия».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В отношении первого из указанных видов деятельности можно отметить, что для осуществления мероприятий по государственному контролю (надзору) в связи с исполнением требований технических регламентов могут привлекаться юридические лица и индивидуальные предприниматели, аккредитованные на проведение работ по оценке соответствия (органы по сертификации, испытательные лаборатории, органы инспекции).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В сфере технического регулирования на железнодорожном транспорте очевидна только возможность привлечения для проведения мероприятий по государственному контролю органов по сертификации и испытательных лабораторий.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Органы инспекции не привлекаются к деятельности по техническому регулированию на железнодорожном транспорте.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 xml:space="preserve">В соответствии с понятийным аппаратом технических регламентов в области железнодорожного транспорта под инспекционным контролем понимается «контрольная оценка соответствия, осуществляемая с целью установления, что продукция продолжает </w:t>
      </w:r>
      <w:r w:rsidRPr="009700B3">
        <w:rPr>
          <w:sz w:val="20"/>
          <w:szCs w:val="20"/>
        </w:rPr>
        <w:lastRenderedPageBreak/>
        <w:t xml:space="preserve">соответствовать заданным требованиям технического регламента ТС, подтвержденными при сертификации». </w:t>
      </w:r>
    </w:p>
    <w:p w:rsid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 xml:space="preserve">Требованиями технических регламентов в области железнодорожного транспорта установлено, что инспекционный контроль осуществляет орган по сертификации, проводивший сертификацию продукции (см., например, пункт 57 статьи 6 </w:t>
      </w:r>
      <w:proofErr w:type="gramStart"/>
      <w:r w:rsidRPr="009700B3">
        <w:rPr>
          <w:sz w:val="20"/>
          <w:szCs w:val="20"/>
        </w:rPr>
        <w:t>ТР</w:t>
      </w:r>
      <w:proofErr w:type="gramEnd"/>
      <w:r w:rsidRPr="009700B3">
        <w:rPr>
          <w:sz w:val="20"/>
          <w:szCs w:val="20"/>
        </w:rPr>
        <w:t xml:space="preserve"> ТС 001/2011).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Объем, периодичность, содержание и порядок проведения инспекционного контроля устанавливается в решении органа по сертификации (см., например, пункт 59 статьи 6 ТС 001/2011).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Таким образом, в сфере железнодорожного транспорта органы сертификации и органы инспекции совпадают, и для целей участия в мероприятиях по государственному контролю соблюдения требований технических регламентов в области железнодорожного транспорта целесообразно привлекать органы по сертификации или испытательные лаборатории.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Также следует отметить, что Решением Комиссии Таможенного союза от 7 апреля 2011 г. № 621 утверждено Положение о порядке применения типовых схем оценки (подтверждения) соответствия требованиям технических регламентов Таможенного союза, в соответствии с которым установлено, что инспекционный контроль проводится только в рамках сертификации и может включать: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– испытания образцов сертифицированной продукции;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– анализ состояния производства;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– инспекционный контроль сертифицированной системы менеджмента.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Исходя из анализа норм указанного выше положения, типовыми схемами оценки (подтверждения) соответствия установлено, что инспекционный контроль проводится органом по сертификации, выдавшим соответствующий сертификат, в том числе в случае выдачи сертификата на систему менеджмента качества.</w:t>
      </w:r>
    </w:p>
    <w:p w:rsidR="009700B3" w:rsidRDefault="009700B3" w:rsidP="009700B3">
      <w:pPr>
        <w:pStyle w:val="a9"/>
        <w:jc w:val="both"/>
        <w:rPr>
          <w:sz w:val="20"/>
          <w:szCs w:val="20"/>
        </w:rPr>
      </w:pPr>
      <w:proofErr w:type="gramStart"/>
      <w:r w:rsidRPr="009700B3">
        <w:rPr>
          <w:sz w:val="20"/>
          <w:szCs w:val="20"/>
        </w:rPr>
        <w:t>Выборочный анализ отдельных технических регламентов, представленный в таблице 1 показал</w:t>
      </w:r>
      <w:proofErr w:type="gramEnd"/>
      <w:r w:rsidRPr="009700B3">
        <w:rPr>
          <w:sz w:val="20"/>
          <w:szCs w:val="20"/>
        </w:rPr>
        <w:t>, что во всех рассмотренных технических регламентах предусмотрено проведение инспекционного контроля органом по сертификации.</w:t>
      </w:r>
    </w:p>
    <w:p w:rsidR="008E4BE8" w:rsidRDefault="008E4BE8" w:rsidP="009700B3">
      <w:pPr>
        <w:pStyle w:val="a9"/>
        <w:jc w:val="both"/>
        <w:rPr>
          <w:sz w:val="20"/>
          <w:szCs w:val="20"/>
        </w:rPr>
        <w:sectPr w:rsidR="008E4BE8" w:rsidSect="008E4BE8">
          <w:type w:val="continuous"/>
          <w:pgSz w:w="11906" w:h="16838"/>
          <w:pgMar w:top="1701" w:right="720" w:bottom="720" w:left="720" w:header="708" w:footer="708" w:gutter="0"/>
          <w:cols w:num="2" w:space="708"/>
          <w:docGrid w:linePitch="360"/>
        </w:sectPr>
      </w:pPr>
    </w:p>
    <w:p w:rsidR="008E4BE8" w:rsidRDefault="008E4BE8" w:rsidP="009700B3">
      <w:pPr>
        <w:pStyle w:val="a9"/>
        <w:jc w:val="both"/>
        <w:rPr>
          <w:sz w:val="20"/>
          <w:szCs w:val="20"/>
        </w:rPr>
      </w:pPr>
    </w:p>
    <w:p w:rsidR="009700B3" w:rsidRDefault="009700B3" w:rsidP="009700B3">
      <w:pPr>
        <w:pStyle w:val="a9"/>
        <w:jc w:val="both"/>
        <w:rPr>
          <w:b/>
          <w:sz w:val="20"/>
          <w:szCs w:val="20"/>
        </w:rPr>
      </w:pPr>
      <w:r w:rsidRPr="009700B3">
        <w:rPr>
          <w:b/>
          <w:sz w:val="20"/>
          <w:szCs w:val="20"/>
        </w:rPr>
        <w:t>Таблица 1. Выборочный анализ технических регламентов в части инспекционного контроля</w:t>
      </w:r>
    </w:p>
    <w:p w:rsidR="009700B3" w:rsidRPr="009700B3" w:rsidRDefault="009700B3" w:rsidP="009700B3">
      <w:pPr>
        <w:pStyle w:val="a9"/>
        <w:jc w:val="both"/>
        <w:rPr>
          <w:b/>
          <w:sz w:val="20"/>
          <w:szCs w:val="20"/>
        </w:rPr>
      </w:pPr>
    </w:p>
    <w:tbl>
      <w:tblPr>
        <w:tblStyle w:val="ac"/>
        <w:tblW w:w="10524" w:type="dxa"/>
        <w:tblLook w:val="04A0" w:firstRow="1" w:lastRow="0" w:firstColumn="1" w:lastColumn="0" w:noHBand="0" w:noVBand="1"/>
      </w:tblPr>
      <w:tblGrid>
        <w:gridCol w:w="439"/>
        <w:gridCol w:w="4778"/>
        <w:gridCol w:w="5307"/>
      </w:tblGrid>
      <w:tr w:rsidR="009700B3" w:rsidRPr="009700B3" w:rsidTr="009700B3">
        <w:trPr>
          <w:trHeight w:val="226"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№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9700B3">
              <w:rPr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Субъект осуществления инспекционного контроля</w:t>
            </w:r>
          </w:p>
        </w:tc>
      </w:tr>
      <w:tr w:rsidR="009700B3" w:rsidRPr="009700B3" w:rsidTr="009700B3">
        <w:trPr>
          <w:trHeight w:val="917"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Федеральный закон от 22 июля 2008 г. N 123-ФЗ «Технический регламент о требованиях пожарной безопасности»</w:t>
            </w:r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Инспекционный контроль осуществляется органом по сертификации (пункт 5 части 2, часть 53 и 56 статьи 147)</w:t>
            </w:r>
          </w:p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9700B3" w:rsidRPr="009700B3" w:rsidTr="009700B3">
        <w:trPr>
          <w:trHeight w:val="1368"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2.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Решение Совета Евразийской экономической комиссии от 2 июля 2013 г. N 41 «О техническом регламенте Таможенного союза  «О безопасности оборудования, работающего под избыточным давлением»</w:t>
            </w:r>
          </w:p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Инспекционный контроль осуществляется органом по сертификации</w:t>
            </w:r>
          </w:p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9700B3" w:rsidRPr="009700B3" w:rsidTr="008E4BE8">
        <w:trPr>
          <w:cantSplit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Решение Комиссии Таможенного союза от 9 декабря 2011 г. N 879 «О принятии технического регламента Таможенного союза «Электромагнитная совместимость технических средств»</w:t>
            </w:r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Инспекционный контроль осуществляется органом по сертификации</w:t>
            </w:r>
          </w:p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9700B3" w:rsidRPr="009700B3" w:rsidTr="009700B3">
        <w:trPr>
          <w:trHeight w:val="917"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Решение Комиссии Таможенного союза от 9 декабря 2011 г. N 878 «О принятии технического регламента Таможенного союза «О безопасности средств индивидуальной защиты»</w:t>
            </w:r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Инспекционный контроль осуществляется органом по сертификации</w:t>
            </w:r>
          </w:p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9700B3" w:rsidRPr="009700B3" w:rsidTr="009700B3">
        <w:trPr>
          <w:trHeight w:val="1143"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5.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Решение Комиссии Таможенного союза от 18 октября 2011 г. N 823 «О принятии технического регламента Таможенного союза «О безопасности машин и оборудования»</w:t>
            </w:r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 xml:space="preserve">орган по сертификации проводит инспекционный </w:t>
            </w:r>
            <w:proofErr w:type="gramStart"/>
            <w:r w:rsidRPr="009700B3">
              <w:rPr>
                <w:sz w:val="20"/>
                <w:szCs w:val="20"/>
              </w:rPr>
              <w:t>контроль за</w:t>
            </w:r>
            <w:proofErr w:type="gramEnd"/>
            <w:r w:rsidRPr="009700B3">
              <w:rPr>
                <w:sz w:val="20"/>
                <w:szCs w:val="20"/>
              </w:rPr>
              <w:t xml:space="preserve"> сертифицированными машинами и (или) оборудованием посредством испытаний образцов в аккредитованной испытательной лаборатории (центре) и (или) анализа состояния производства.</w:t>
            </w:r>
          </w:p>
        </w:tc>
      </w:tr>
      <w:tr w:rsidR="009700B3" w:rsidRPr="009700B3" w:rsidTr="009700B3">
        <w:trPr>
          <w:trHeight w:val="692"/>
        </w:trPr>
        <w:tc>
          <w:tcPr>
            <w:tcW w:w="0" w:type="auto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6.</w:t>
            </w:r>
          </w:p>
        </w:tc>
        <w:tc>
          <w:tcPr>
            <w:tcW w:w="4778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Федеральный закон от 24 июня 2008 г. N 90-ФЗ «Технический регламент на масложировую продукцию»</w:t>
            </w:r>
          </w:p>
        </w:tc>
        <w:tc>
          <w:tcPr>
            <w:tcW w:w="5307" w:type="dxa"/>
          </w:tcPr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  <w:r w:rsidRPr="009700B3">
              <w:rPr>
                <w:sz w:val="20"/>
                <w:szCs w:val="20"/>
              </w:rPr>
              <w:t>Инспекционный контроль осуществляется органом по сертификации (часть 9 статьи 24)</w:t>
            </w:r>
          </w:p>
          <w:p w:rsidR="009700B3" w:rsidRPr="009700B3" w:rsidRDefault="009700B3" w:rsidP="009700B3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</w:tbl>
    <w:p w:rsidR="008E4BE8" w:rsidRDefault="008E4BE8" w:rsidP="009700B3">
      <w:pPr>
        <w:pStyle w:val="a9"/>
        <w:jc w:val="both"/>
        <w:rPr>
          <w:sz w:val="20"/>
          <w:szCs w:val="20"/>
        </w:rPr>
        <w:sectPr w:rsidR="008E4BE8" w:rsidSect="008E4BE8">
          <w:type w:val="continuous"/>
          <w:pgSz w:w="11906" w:h="16838"/>
          <w:pgMar w:top="1985" w:right="720" w:bottom="720" w:left="720" w:header="708" w:footer="708" w:gutter="0"/>
          <w:cols w:space="708"/>
          <w:docGrid w:linePitch="360"/>
        </w:sectPr>
      </w:pP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 xml:space="preserve">Проведенный выборочный анализ не выявил самостоятельные органы инспекции в рассмотренных технических регламентах. </w:t>
      </w:r>
    </w:p>
    <w:p w:rsid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Таким образом, можно сделать вывод, что правовые и фактические основания для привлечения органов инспекции в качестве экспертных организаций при проведении контрольно-надзорных мероприятий со стороны уполномоченных государственных в настоящее время отсутствуют.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 xml:space="preserve">Что касается привлечения в качестве экспертов физических лиц, то соответствующий порядок устанавливается постановлением 636, в соответствии с которым аттестация экспертов осуществляется федеральными органами исполнительной власти, </w:t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lastRenderedPageBreak/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="008E4BE8">
        <w:rPr>
          <w:sz w:val="20"/>
          <w:szCs w:val="20"/>
        </w:rPr>
        <w:br/>
      </w:r>
      <w:r w:rsidRPr="009700B3">
        <w:rPr>
          <w:sz w:val="20"/>
          <w:szCs w:val="20"/>
        </w:rPr>
        <w:t>органами исполнительной власти субъектов Российской Федерации, уполномоченными на проведение соответствующего вида государственного контроля (надзора), органами муниципального контроля.</w:t>
      </w:r>
    </w:p>
    <w:p w:rsidR="009700B3" w:rsidRP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>Критерии аттестации устанавливаются органом контроля (надзора) и должны содержать требования к образованию, стажу работы, наличию знаний и навыков в определенной сфере науки, техники, хозяйственной деятельности,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9700B3" w:rsidRDefault="009700B3" w:rsidP="009700B3">
      <w:pPr>
        <w:pStyle w:val="a9"/>
        <w:jc w:val="both"/>
        <w:rPr>
          <w:sz w:val="20"/>
          <w:szCs w:val="20"/>
        </w:rPr>
      </w:pPr>
      <w:r w:rsidRPr="009700B3">
        <w:rPr>
          <w:sz w:val="20"/>
          <w:szCs w:val="20"/>
        </w:rPr>
        <w:t xml:space="preserve">В настоящее время интересующими федеральными органами исполнительной власти (Минтранс, </w:t>
      </w:r>
      <w:proofErr w:type="spellStart"/>
      <w:r w:rsidRPr="009700B3">
        <w:rPr>
          <w:sz w:val="20"/>
          <w:szCs w:val="20"/>
        </w:rPr>
        <w:t>Росстандарт</w:t>
      </w:r>
      <w:proofErr w:type="spellEnd"/>
      <w:r w:rsidRPr="009700B3">
        <w:rPr>
          <w:sz w:val="20"/>
          <w:szCs w:val="20"/>
        </w:rPr>
        <w:t>) соответствующие критерии не установлены.</w:t>
      </w:r>
    </w:p>
    <w:sectPr w:rsidR="009700B3" w:rsidSect="008E4BE8">
      <w:type w:val="continuous"/>
      <w:pgSz w:w="11906" w:h="16838"/>
      <w:pgMar w:top="1985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6C" w:rsidRDefault="00D9736C" w:rsidP="00A4508E">
      <w:r>
        <w:separator/>
      </w:r>
    </w:p>
  </w:endnote>
  <w:endnote w:type="continuationSeparator" w:id="0">
    <w:p w:rsidR="00D9736C" w:rsidRDefault="00D9736C" w:rsidP="00A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8" w:rsidRDefault="008E4B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8" w:rsidRDefault="008E4B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8" w:rsidRDefault="008E4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6C" w:rsidRDefault="00D9736C" w:rsidP="00A4508E">
      <w:r>
        <w:separator/>
      </w:r>
    </w:p>
  </w:footnote>
  <w:footnote w:type="continuationSeparator" w:id="0">
    <w:p w:rsidR="00D9736C" w:rsidRDefault="00D9736C" w:rsidP="00A4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8" w:rsidRDefault="008E4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E" w:rsidRPr="00397BCC" w:rsidRDefault="008D0E8D">
    <w:pPr>
      <w:pStyle w:val="a5"/>
      <w:rPr>
        <w:rFonts w:eastAsia="Batang"/>
        <w:b/>
        <w:color w:val="FFFFFF" w:themeColor="background1"/>
        <w:sz w:val="44"/>
        <w:szCs w:val="44"/>
      </w:rPr>
    </w:pPr>
    <w:r w:rsidRPr="00397BCC">
      <w:rPr>
        <w:rFonts w:eastAsia="Batang"/>
        <w:b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89DF1F" wp14:editId="664158D0">
              <wp:simplePos x="0" y="0"/>
              <wp:positionH relativeFrom="margin">
                <wp:posOffset>-1743075</wp:posOffset>
              </wp:positionH>
              <wp:positionV relativeFrom="page">
                <wp:posOffset>-47625</wp:posOffset>
              </wp:positionV>
              <wp:extent cx="10144125" cy="1123950"/>
              <wp:effectExtent l="0" t="0" r="952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1123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60000"/>
                          </a:gs>
                          <a:gs pos="50000">
                            <a:srgbClr val="C00000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137.25pt;margin-top:-3.75pt;width:798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" fillcolor="#860000" stroked="f" strokeweight="2pt">
              <v:fill color2="red" rotate="t" colors="0 #860000;.5 #c00000;1 red" focus="100%" type="gradient"/>
              <w10:wrap anchorx="margin" anchory="page"/>
            </v:rect>
          </w:pict>
        </mc:Fallback>
      </mc:AlternateContent>
    </w:r>
    <w:r w:rsidRPr="00397BCC">
      <w:rPr>
        <w:rFonts w:eastAsia="Batang"/>
        <w:b/>
        <w:color w:val="FFFFFF" w:themeColor="background1"/>
        <w:sz w:val="44"/>
        <w:szCs w:val="44"/>
      </w:rPr>
      <w:t>НЭ</w:t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="000F59D7" w:rsidRPr="00397BCC">
      <w:rPr>
        <w:rFonts w:eastAsia="Batang"/>
        <w:b/>
        <w:color w:val="FFFFFF" w:themeColor="background1"/>
        <w:sz w:val="44"/>
        <w:szCs w:val="44"/>
      </w:rPr>
      <w:t xml:space="preserve">       </w:t>
    </w:r>
    <w:r w:rsidR="009700B3">
      <w:rPr>
        <w:rFonts w:eastAsia="Batang"/>
        <w:b/>
        <w:color w:val="FFFFFF" w:themeColor="background1"/>
      </w:rPr>
      <w:t>ноябрь 2015</w:t>
    </w:r>
    <w:r w:rsidR="000F59D7" w:rsidRPr="00397BCC">
      <w:rPr>
        <w:rFonts w:eastAsia="Batang"/>
        <w:b/>
        <w:color w:val="FFFFFF" w:themeColor="background1"/>
      </w:rPr>
      <w:t>, научный эксперт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8" w:rsidRDefault="008E4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EFE"/>
    <w:multiLevelType w:val="hybridMultilevel"/>
    <w:tmpl w:val="4D80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1"/>
    <w:rsid w:val="00012DF1"/>
    <w:rsid w:val="00052FFC"/>
    <w:rsid w:val="000C4345"/>
    <w:rsid w:val="000F59D7"/>
    <w:rsid w:val="001C1424"/>
    <w:rsid w:val="0032062D"/>
    <w:rsid w:val="00335416"/>
    <w:rsid w:val="00397BCC"/>
    <w:rsid w:val="0051534F"/>
    <w:rsid w:val="006365A2"/>
    <w:rsid w:val="00751451"/>
    <w:rsid w:val="00796DED"/>
    <w:rsid w:val="00830A31"/>
    <w:rsid w:val="008929C1"/>
    <w:rsid w:val="00894CD3"/>
    <w:rsid w:val="008D0E8D"/>
    <w:rsid w:val="008D3EEB"/>
    <w:rsid w:val="008E4BE8"/>
    <w:rsid w:val="009700B3"/>
    <w:rsid w:val="0097421C"/>
    <w:rsid w:val="009B4057"/>
    <w:rsid w:val="00A044D5"/>
    <w:rsid w:val="00A4508E"/>
    <w:rsid w:val="00A6332C"/>
    <w:rsid w:val="00AD620C"/>
    <w:rsid w:val="00B3497F"/>
    <w:rsid w:val="00D9736C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96DE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6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96DED"/>
    <w:rPr>
      <w:vertAlign w:val="superscript"/>
    </w:rPr>
  </w:style>
  <w:style w:type="character" w:styleId="af0">
    <w:name w:val="Hyperlink"/>
    <w:basedOn w:val="a0"/>
    <w:uiPriority w:val="99"/>
    <w:unhideWhenUsed/>
    <w:rsid w:val="0079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96DE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6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96DED"/>
    <w:rPr>
      <w:vertAlign w:val="superscript"/>
    </w:rPr>
  </w:style>
  <w:style w:type="character" w:styleId="af0">
    <w:name w:val="Hyperlink"/>
    <w:basedOn w:val="a0"/>
    <w:uiPriority w:val="99"/>
    <w:unhideWhenUsed/>
    <w:rsid w:val="0079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2016-08-20T12:53:00Z</cp:lastPrinted>
  <dcterms:created xsi:type="dcterms:W3CDTF">2016-08-20T15:04:00Z</dcterms:created>
  <dcterms:modified xsi:type="dcterms:W3CDTF">2016-08-23T06:38:00Z</dcterms:modified>
</cp:coreProperties>
</file>