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16" w:rsidRPr="00A4508E" w:rsidRDefault="00335416" w:rsidP="00A4508E">
      <w:pPr>
        <w:pStyle w:val="a9"/>
        <w:rPr>
          <w:b/>
        </w:rPr>
      </w:pPr>
      <w:bookmarkStart w:id="0" w:name="_Toc459456252"/>
      <w:r w:rsidRPr="00A4508E">
        <w:rPr>
          <w:b/>
        </w:rPr>
        <w:t>Правовой статус ведомственных документов в сфере технического регулирования на железнодорожном транспорте, устанавливающих требования в области безопасности</w:t>
      </w:r>
      <w:bookmarkStart w:id="1" w:name="_GoBack"/>
      <w:bookmarkEnd w:id="0"/>
      <w:bookmarkEnd w:id="1"/>
    </w:p>
    <w:p w:rsidR="00A4508E" w:rsidRPr="008D0E8D" w:rsidRDefault="00A4508E" w:rsidP="00A4508E">
      <w:pPr>
        <w:pStyle w:val="a9"/>
        <w:jc w:val="both"/>
        <w:rPr>
          <w:b/>
        </w:rPr>
      </w:pPr>
    </w:p>
    <w:p w:rsidR="00A4508E" w:rsidRDefault="008D0E8D" w:rsidP="00052FFC">
      <w:pPr>
        <w:pStyle w:val="a9"/>
        <w:rPr>
          <w:b/>
        </w:rPr>
      </w:pPr>
      <w:proofErr w:type="spellStart"/>
      <w:r w:rsidRPr="0032062D">
        <w:rPr>
          <w:b/>
        </w:rPr>
        <w:t>Вилисов</w:t>
      </w:r>
      <w:proofErr w:type="spellEnd"/>
      <w:r w:rsidRPr="0032062D">
        <w:rPr>
          <w:b/>
        </w:rPr>
        <w:t xml:space="preserve"> М.В.</w:t>
      </w:r>
    </w:p>
    <w:p w:rsidR="000F59D7" w:rsidRDefault="000F59D7" w:rsidP="00052FFC">
      <w:pPr>
        <w:pStyle w:val="a9"/>
        <w:rPr>
          <w:b/>
        </w:rPr>
      </w:pPr>
    </w:p>
    <w:p w:rsidR="000F59D7" w:rsidRPr="000F59D7" w:rsidRDefault="000F59D7" w:rsidP="00052FFC">
      <w:pPr>
        <w:pStyle w:val="a9"/>
        <w:rPr>
          <w:i/>
        </w:rPr>
      </w:pPr>
      <w:r w:rsidRPr="000F59D7">
        <w:rPr>
          <w:i/>
        </w:rPr>
        <w:t>В условиях применения технических регламентов Таможенного союза в сфере железнодорожного транспорта практика внесения изменений в нормы безопасности с помощью ведомственных документов требует пересмотра.</w:t>
      </w:r>
    </w:p>
    <w:p w:rsidR="00052FFC" w:rsidRDefault="00052FFC" w:rsidP="00052FFC">
      <w:pPr>
        <w:pStyle w:val="a9"/>
        <w:rPr>
          <w:b/>
        </w:rPr>
      </w:pPr>
    </w:p>
    <w:p w:rsidR="00052FFC" w:rsidRDefault="00052FFC" w:rsidP="00052FFC">
      <w:pPr>
        <w:pStyle w:val="a9"/>
        <w:rPr>
          <w:b/>
        </w:rPr>
      </w:pPr>
      <w:r>
        <w:rPr>
          <w:b/>
          <w:noProof/>
        </w:rPr>
        <w:drawing>
          <wp:inline distT="0" distB="0" distL="0" distR="0">
            <wp:extent cx="6638925" cy="372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езд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1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FC" w:rsidRDefault="00052FFC" w:rsidP="00052FFC">
      <w:pPr>
        <w:pStyle w:val="a9"/>
        <w:rPr>
          <w:b/>
        </w:rPr>
      </w:pPr>
    </w:p>
    <w:p w:rsidR="00052FFC" w:rsidRPr="00052FFC" w:rsidRDefault="00052FFC" w:rsidP="00052FFC">
      <w:pPr>
        <w:pStyle w:val="a9"/>
        <w:rPr>
          <w:b/>
        </w:rPr>
        <w:sectPr w:rsidR="00052FFC" w:rsidRPr="00052FFC" w:rsidSect="00871A68">
          <w:headerReference w:type="default" r:id="rId9"/>
          <w:footerReference w:type="default" r:id="rId10"/>
          <w:pgSz w:w="11906" w:h="16838"/>
          <w:pgMar w:top="1843" w:right="720" w:bottom="720" w:left="720" w:header="708" w:footer="708" w:gutter="0"/>
          <w:pgNumType w:start="9"/>
          <w:cols w:space="708"/>
          <w:docGrid w:linePitch="360"/>
        </w:sectPr>
      </w:pP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lastRenderedPageBreak/>
        <w:t>Ведомственные нормативно-технические документы составляли основу нормативного регулирования вопросов безопасности до начала реформы технического регулирования. Большое количество этих документов, сложность процессов их применения и непрозрачность принятия – это основные аргументы сторонников проводившейся реформы. В результате основной целью Федерального закона от 27 декабря 2002 г. N 184-ФЗ "О техническом регулировании" (далее – 184-ФЗ) стала отмена этой системы и введение технических регламентов как основных документов, устанавливающих обязательные для применения требования. В условиях хозяйственной деятельности, в которой принимало участие все большее количество негосударственных хозяйствующих субъектов, такой подход в целом можно считать оправданным.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>184-ФЗ устанавливает четкий порядок переходных положений в статье 46.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proofErr w:type="gramStart"/>
      <w:r w:rsidRPr="00A4508E">
        <w:rPr>
          <w:sz w:val="20"/>
          <w:szCs w:val="20"/>
        </w:rPr>
        <w:t xml:space="preserve">В ней, в частности, установлено, что со дня вступления в силу 184-ФЗ впредь до вступления в силу соответствующих технических регламентов требования к продукции или к продукции и связанным с </w:t>
      </w:r>
      <w:r w:rsidRPr="00A4508E">
        <w:rPr>
          <w:sz w:val="20"/>
          <w:szCs w:val="20"/>
        </w:rPr>
        <w:lastRenderedPageBreak/>
        <w:t>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</w:t>
      </w:r>
      <w:proofErr w:type="gramEnd"/>
      <w:r w:rsidRPr="00A4508E">
        <w:rPr>
          <w:sz w:val="20"/>
          <w:szCs w:val="20"/>
        </w:rPr>
        <w:t xml:space="preserve"> Федерации и нормативными документами федеральных органов исполнительной власти, подлежат обязательному исполнению только в части, соответствующей целям: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>– 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>– охраны окружающей среды, жизни или здоровья животных и растений;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>– предупреждения действий, вводящих в заблуждение приобретателей, в том числе потребителей;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>– обеспечения энергетической эффективности и ресурсосбережения.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proofErr w:type="gramStart"/>
      <w:r w:rsidRPr="00A4508E">
        <w:rPr>
          <w:sz w:val="20"/>
          <w:szCs w:val="20"/>
        </w:rPr>
        <w:t xml:space="preserve">Нормативные правовые акты Российской Федерации и нормативные документы федеральных органов исполнительной власти, устанавливающие на период до вступления в силу соответствующих технических </w:t>
      </w:r>
      <w:r w:rsidRPr="00A4508E">
        <w:rPr>
          <w:sz w:val="20"/>
          <w:szCs w:val="20"/>
        </w:rPr>
        <w:lastRenderedPageBreak/>
        <w:t>регламентов обязательные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размещаются соответствующими федеральными органами исполнительной власти в информационной системе общего пользования</w:t>
      </w:r>
      <w:proofErr w:type="gramEnd"/>
      <w:r w:rsidRPr="00A4508E">
        <w:rPr>
          <w:sz w:val="20"/>
          <w:szCs w:val="20"/>
        </w:rPr>
        <w:t xml:space="preserve"> в электронной форме с указанием подлежащих обязательному исполнению структурных единиц (разделов, пунктов) этих актов и документов, за исключением случаев, отнесенных к вопросам обороны и безопасности (статья 5 184-ФЗ).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proofErr w:type="gramStart"/>
      <w:r w:rsidRPr="00A4508E">
        <w:rPr>
          <w:sz w:val="20"/>
          <w:szCs w:val="20"/>
        </w:rPr>
        <w:t>С 1 сентября 2011 года нормативные правовые акты Российской Федерации и нормативные документы федеральных органов исполнительной власти, содержащие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и не опубликованные в установленном порядке, могут применяться только на добровольной основе.</w:t>
      </w:r>
      <w:proofErr w:type="gramEnd"/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>Таким образом, 184-ФЗ установил четкие правила по ограниченному применению ведомственных документов после вступления его в силу и на период до вступления в силу соответствующих технических регламентов.</w:t>
      </w:r>
    </w:p>
    <w:p w:rsidR="000F59D7" w:rsidRDefault="00335416" w:rsidP="008D0E8D">
      <w:pPr>
        <w:pStyle w:val="a9"/>
        <w:jc w:val="both"/>
        <w:rPr>
          <w:sz w:val="20"/>
          <w:szCs w:val="20"/>
        </w:rPr>
      </w:pPr>
      <w:proofErr w:type="gramStart"/>
      <w:r w:rsidRPr="00A4508E">
        <w:rPr>
          <w:sz w:val="20"/>
          <w:szCs w:val="20"/>
        </w:rPr>
        <w:t>Для устранения правового вакуума статья 46 184-ФЗ устанавливала, что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целях, определенных 184-ФЗ и в пределах своих полномочий вправе вносить в установленном порядке изменения в нормативные правовые акты Российской Федерации, применяемые до дня вступления в силу соответствующих технических регламентов, федеральные органы исполнительной власти – в</w:t>
      </w:r>
      <w:proofErr w:type="gramEnd"/>
      <w:r w:rsidRPr="00A4508E">
        <w:rPr>
          <w:sz w:val="20"/>
          <w:szCs w:val="20"/>
        </w:rPr>
        <w:t xml:space="preserve"> нормативные документы </w:t>
      </w:r>
      <w:proofErr w:type="gramStart"/>
      <w:r w:rsidRPr="00A4508E">
        <w:rPr>
          <w:sz w:val="20"/>
          <w:szCs w:val="20"/>
        </w:rPr>
        <w:t>федеральных</w:t>
      </w:r>
      <w:proofErr w:type="gramEnd"/>
      <w:r w:rsidRPr="00A4508E">
        <w:rPr>
          <w:sz w:val="20"/>
          <w:szCs w:val="20"/>
        </w:rPr>
        <w:t xml:space="preserve"> 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>органов исполнительной власти, применяемые до дня вступления в силу соответствующих технических регламентов.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>Таким образом, 184-ФЗ допускает дальнейшее нормотворчество федеральных органов исполнительной власти и Правительства Российской Федерации в отношении ведомственных нормативно-технических документов до вступления в силу соответствующих технических регламентов.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 xml:space="preserve">Однако, в соответствии со статьей 46 184-ФЗ все ведомственные документы, устанавливающие обязательные требования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 отношении которых технические регламенты не приняты, действуют до дня вступления в силу соответствующих технических регламентов. То есть, </w:t>
      </w:r>
      <w:r w:rsidR="000F59D7">
        <w:rPr>
          <w:sz w:val="20"/>
          <w:szCs w:val="20"/>
        </w:rPr>
        <w:t xml:space="preserve"> </w:t>
      </w:r>
      <w:r w:rsidRPr="00A4508E">
        <w:rPr>
          <w:sz w:val="20"/>
          <w:szCs w:val="20"/>
        </w:rPr>
        <w:t xml:space="preserve">после вступления в силу соответствующих технических регламентов они автоматически утрачивают </w:t>
      </w:r>
      <w:r w:rsidRPr="00A4508E">
        <w:rPr>
          <w:sz w:val="20"/>
          <w:szCs w:val="20"/>
        </w:rPr>
        <w:lastRenderedPageBreak/>
        <w:t>юридическую силу на основании соответствующей законодательной нормы.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 xml:space="preserve">Решением Комиссии Таможенного союза от 15 июля 2011 г. N 710 "О принятии технических регламентов Таможенного союза "О безопасности железнодорожного подвижного состава", "О безопасности высокоскоростного железнодорожного транспорта" и "О безопасности инфраструктуры железнодорожного транспорта" были утверждены технические регламенты Таможенного союза в сфере железнодорожного транспорта (далее – </w:t>
      </w:r>
      <w:proofErr w:type="gramStart"/>
      <w:r w:rsidRPr="00A4508E">
        <w:rPr>
          <w:sz w:val="20"/>
          <w:szCs w:val="20"/>
        </w:rPr>
        <w:t>ТР</w:t>
      </w:r>
      <w:proofErr w:type="gramEnd"/>
      <w:r w:rsidRPr="00A4508E">
        <w:rPr>
          <w:sz w:val="20"/>
          <w:szCs w:val="20"/>
        </w:rPr>
        <w:t xml:space="preserve"> ТС). </w:t>
      </w:r>
      <w:proofErr w:type="gramStart"/>
      <w:r w:rsidRPr="00A4508E">
        <w:rPr>
          <w:sz w:val="20"/>
          <w:szCs w:val="20"/>
        </w:rPr>
        <w:t>ТР</w:t>
      </w:r>
      <w:proofErr w:type="gramEnd"/>
      <w:r w:rsidRPr="00A4508E">
        <w:rPr>
          <w:sz w:val="20"/>
          <w:szCs w:val="20"/>
        </w:rPr>
        <w:t xml:space="preserve"> ТС вступили в силу в августе 2014 года.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>По общему правилу, установленному 184-ФЗ, после их вступления в силу ведомственные документы, устанавливающие обязательные требования по безопасности, утрачивают силу автоматически.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 xml:space="preserve">До вступления в силу </w:t>
      </w:r>
      <w:proofErr w:type="gramStart"/>
      <w:r w:rsidRPr="00A4508E">
        <w:rPr>
          <w:sz w:val="20"/>
          <w:szCs w:val="20"/>
        </w:rPr>
        <w:t>ТР</w:t>
      </w:r>
      <w:proofErr w:type="gramEnd"/>
      <w:r w:rsidRPr="00A4508E">
        <w:rPr>
          <w:sz w:val="20"/>
          <w:szCs w:val="20"/>
        </w:rPr>
        <w:t xml:space="preserve"> ТС Минтранс России достаточно активно пользовался возможностью внесения изменений в ведомственные документы в соответствии со статьей 46 184-ФЗ как правопреемник МПС.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 xml:space="preserve">В качестве примеров можно привести приказы Минтранса России о внесении изменений в нормы безопасности - ведомственные документы, устанавливавшие требования в области безопасности (далее – НБ ЖТ). 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 xml:space="preserve">В соответствии с частью 1.1 статьи 46 ФЗ </w:t>
      </w:r>
      <w:proofErr w:type="gramStart"/>
      <w:r w:rsidRPr="00A4508E">
        <w:rPr>
          <w:sz w:val="20"/>
          <w:szCs w:val="20"/>
        </w:rPr>
        <w:t>ТР</w:t>
      </w:r>
      <w:proofErr w:type="gramEnd"/>
      <w:r w:rsidRPr="00A4508E">
        <w:rPr>
          <w:sz w:val="20"/>
          <w:szCs w:val="20"/>
        </w:rPr>
        <w:t xml:space="preserve"> изменения в такого рода документы могли вноситься до вступления в силу соответствующих технических регламентов. После вступления в силу технических регламентов в сфере железнодорожного транспорта в августе 2014 года внесение изменений в НБ ЖТ не имеет правовых оснований.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 xml:space="preserve">Тем не менее, Минтранс продолжил практику рассмотрения и внесения изменений в нормы безопасности и после вступления в силу </w:t>
      </w:r>
      <w:proofErr w:type="gramStart"/>
      <w:r w:rsidRPr="00A4508E">
        <w:rPr>
          <w:sz w:val="20"/>
          <w:szCs w:val="20"/>
        </w:rPr>
        <w:t>ТР</w:t>
      </w:r>
      <w:proofErr w:type="gramEnd"/>
      <w:r w:rsidRPr="00A4508E">
        <w:rPr>
          <w:sz w:val="20"/>
          <w:szCs w:val="20"/>
        </w:rPr>
        <w:t xml:space="preserve"> ТС. В качестве примера можно привести приказ Министерства транспорта РФ от 5 августа 2014 г. № 218 "О внесении изменений в Нормы безопасности НБ ЖТ ЦТ 144-2003 "Электрооборудование подвижного состава железных дорог. Нормы безопасности", утвержденные указанием Министерства путей сообщения Российской Федерации от 25 июня 2003 г. № Р-634у.   Те</w:t>
      </w:r>
      <w:proofErr w:type="gramStart"/>
      <w:r w:rsidRPr="00A4508E">
        <w:rPr>
          <w:sz w:val="20"/>
          <w:szCs w:val="20"/>
        </w:rPr>
        <w:t>кст пр</w:t>
      </w:r>
      <w:proofErr w:type="gramEnd"/>
      <w:r w:rsidRPr="00A4508E">
        <w:rPr>
          <w:sz w:val="20"/>
          <w:szCs w:val="20"/>
        </w:rPr>
        <w:t>иказа официально опубликован не был.</w:t>
      </w:r>
    </w:p>
    <w:p w:rsidR="00335416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>Анализ справочной правовой системы «</w:t>
      </w:r>
      <w:proofErr w:type="spellStart"/>
      <w:r w:rsidRPr="00A4508E">
        <w:rPr>
          <w:sz w:val="20"/>
          <w:szCs w:val="20"/>
        </w:rPr>
        <w:t>КонсультантПлюс</w:t>
      </w:r>
      <w:proofErr w:type="spellEnd"/>
      <w:r w:rsidRPr="00A4508E">
        <w:rPr>
          <w:sz w:val="20"/>
          <w:szCs w:val="20"/>
        </w:rPr>
        <w:t xml:space="preserve">» показывает, что в ней в качестве действующих числится ряд документов, действие которых должно быть автоматически прекращено в результате ввода в действие </w:t>
      </w:r>
      <w:proofErr w:type="gramStart"/>
      <w:r w:rsidRPr="00A4508E">
        <w:rPr>
          <w:sz w:val="20"/>
          <w:szCs w:val="20"/>
        </w:rPr>
        <w:t>ТР</w:t>
      </w:r>
      <w:proofErr w:type="gramEnd"/>
      <w:r w:rsidRPr="00A4508E">
        <w:rPr>
          <w:sz w:val="20"/>
          <w:szCs w:val="20"/>
        </w:rPr>
        <w:t xml:space="preserve"> ТС.</w:t>
      </w:r>
    </w:p>
    <w:p w:rsidR="00FD3C34" w:rsidRPr="00A4508E" w:rsidRDefault="00335416" w:rsidP="008D0E8D">
      <w:pPr>
        <w:pStyle w:val="a9"/>
        <w:jc w:val="both"/>
        <w:rPr>
          <w:sz w:val="20"/>
          <w:szCs w:val="20"/>
        </w:rPr>
      </w:pPr>
      <w:r w:rsidRPr="00A4508E">
        <w:rPr>
          <w:sz w:val="20"/>
          <w:szCs w:val="20"/>
        </w:rPr>
        <w:t xml:space="preserve">С учетом того, что Минтранс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регулированию, в том числе, в сфере железнодорожного транспорта, министерству  необходимо выработать единый подход к применению ведомственных документов в сфере технического регулирования на </w:t>
      </w:r>
      <w:r w:rsidR="000F59D7">
        <w:rPr>
          <w:sz w:val="20"/>
          <w:szCs w:val="20"/>
        </w:rPr>
        <w:t xml:space="preserve"> </w:t>
      </w:r>
      <w:r w:rsidRPr="00A4508E">
        <w:rPr>
          <w:sz w:val="20"/>
          <w:szCs w:val="20"/>
        </w:rPr>
        <w:t>железнодорожном транспорте в рамках действующего законодательства.</w:t>
      </w:r>
    </w:p>
    <w:sectPr w:rsidR="00FD3C34" w:rsidRPr="00A4508E" w:rsidSect="00871A68">
      <w:type w:val="continuous"/>
      <w:pgSz w:w="11906" w:h="16838"/>
      <w:pgMar w:top="1985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90" w:rsidRDefault="00BC7490" w:rsidP="00A4508E">
      <w:r>
        <w:separator/>
      </w:r>
    </w:p>
  </w:endnote>
  <w:endnote w:type="continuationSeparator" w:id="0">
    <w:p w:rsidR="00BC7490" w:rsidRDefault="00BC7490" w:rsidP="00A4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804354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871A68" w:rsidRPr="00871A68" w:rsidRDefault="00871A68">
        <w:pPr>
          <w:pStyle w:val="a7"/>
          <w:jc w:val="right"/>
          <w:rPr>
            <w:rFonts w:ascii="Arial" w:hAnsi="Arial" w:cs="Arial"/>
            <w:b/>
          </w:rPr>
        </w:pPr>
        <w:r w:rsidRPr="00871A68">
          <w:rPr>
            <w:rFonts w:ascii="Arial" w:hAnsi="Arial" w:cs="Arial"/>
            <w:b/>
          </w:rPr>
          <w:fldChar w:fldCharType="begin"/>
        </w:r>
        <w:r w:rsidRPr="00871A68">
          <w:rPr>
            <w:rFonts w:ascii="Arial" w:hAnsi="Arial" w:cs="Arial"/>
            <w:b/>
          </w:rPr>
          <w:instrText>PAGE   \* MERGEFORMAT</w:instrText>
        </w:r>
        <w:r w:rsidRPr="00871A68">
          <w:rPr>
            <w:rFonts w:ascii="Arial" w:hAnsi="Arial" w:cs="Arial"/>
            <w:b/>
          </w:rPr>
          <w:fldChar w:fldCharType="separate"/>
        </w:r>
        <w:r w:rsidR="008737FB">
          <w:rPr>
            <w:rFonts w:ascii="Arial" w:hAnsi="Arial" w:cs="Arial"/>
            <w:b/>
            <w:noProof/>
          </w:rPr>
          <w:t>9</w:t>
        </w:r>
        <w:r w:rsidRPr="00871A68">
          <w:rPr>
            <w:rFonts w:ascii="Arial" w:hAnsi="Arial" w:cs="Arial"/>
            <w:b/>
          </w:rPr>
          <w:fldChar w:fldCharType="end"/>
        </w:r>
      </w:p>
    </w:sdtContent>
  </w:sdt>
  <w:p w:rsidR="008D0E8D" w:rsidRDefault="008D0E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90" w:rsidRDefault="00BC7490" w:rsidP="00A4508E">
      <w:r>
        <w:separator/>
      </w:r>
    </w:p>
  </w:footnote>
  <w:footnote w:type="continuationSeparator" w:id="0">
    <w:p w:rsidR="00BC7490" w:rsidRDefault="00BC7490" w:rsidP="00A4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E" w:rsidRPr="00397BCC" w:rsidRDefault="008D0E8D">
    <w:pPr>
      <w:pStyle w:val="a5"/>
      <w:rPr>
        <w:rFonts w:eastAsia="Batang"/>
        <w:b/>
        <w:color w:val="FFFFFF" w:themeColor="background1"/>
        <w:sz w:val="44"/>
        <w:szCs w:val="44"/>
      </w:rPr>
    </w:pPr>
    <w:r w:rsidRPr="00397BCC">
      <w:rPr>
        <w:rFonts w:eastAsia="Batang"/>
        <w:b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6AE541" wp14:editId="5AE9F57C">
              <wp:simplePos x="0" y="0"/>
              <wp:positionH relativeFrom="margin">
                <wp:posOffset>-1743075</wp:posOffset>
              </wp:positionH>
              <wp:positionV relativeFrom="page">
                <wp:posOffset>-47625</wp:posOffset>
              </wp:positionV>
              <wp:extent cx="10144125" cy="1123950"/>
              <wp:effectExtent l="0" t="0" r="952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1123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60000"/>
                          </a:gs>
                          <a:gs pos="50000">
                            <a:srgbClr val="C00000"/>
                          </a:gs>
                          <a:gs pos="100000">
                            <a:srgbClr val="FF0000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137.25pt;margin-top:-3.75pt;width:798.7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" fillcolor="#860000" stroked="f" strokeweight="2pt">
              <v:fill color2="red" rotate="t" colors="0 #860000;.5 #c00000;1 red" focus="100%" type="gradient"/>
              <w10:wrap anchorx="margin" anchory="page"/>
            </v:rect>
          </w:pict>
        </mc:Fallback>
      </mc:AlternateContent>
    </w:r>
    <w:r w:rsidRPr="00397BCC">
      <w:rPr>
        <w:rFonts w:eastAsia="Batang"/>
        <w:b/>
        <w:color w:val="FFFFFF" w:themeColor="background1"/>
        <w:sz w:val="44"/>
        <w:szCs w:val="44"/>
      </w:rPr>
      <w:t>НЭ</w:t>
    </w:r>
    <w:r w:rsidRPr="00397BCC">
      <w:rPr>
        <w:rFonts w:eastAsia="Batang"/>
        <w:b/>
        <w:color w:val="FFFFFF" w:themeColor="background1"/>
        <w:sz w:val="44"/>
        <w:szCs w:val="44"/>
      </w:rPr>
      <w:tab/>
    </w:r>
    <w:r w:rsidRPr="00397BCC">
      <w:rPr>
        <w:rFonts w:eastAsia="Batang"/>
        <w:b/>
        <w:color w:val="FFFFFF" w:themeColor="background1"/>
        <w:sz w:val="44"/>
        <w:szCs w:val="44"/>
      </w:rPr>
      <w:tab/>
    </w:r>
    <w:r w:rsidR="000F59D7" w:rsidRPr="00397BCC">
      <w:rPr>
        <w:rFonts w:eastAsia="Batang"/>
        <w:b/>
        <w:color w:val="FFFFFF" w:themeColor="background1"/>
        <w:sz w:val="44"/>
        <w:szCs w:val="44"/>
      </w:rPr>
      <w:t xml:space="preserve">       </w:t>
    </w:r>
    <w:r w:rsidRPr="00397BCC">
      <w:rPr>
        <w:rFonts w:eastAsia="Batang"/>
        <w:b/>
        <w:color w:val="FFFFFF" w:themeColor="background1"/>
      </w:rPr>
      <w:t>январь 2016</w:t>
    </w:r>
    <w:r w:rsidR="000F59D7" w:rsidRPr="00397BCC">
      <w:rPr>
        <w:rFonts w:eastAsia="Batang"/>
        <w:b/>
        <w:color w:val="FFFFFF" w:themeColor="background1"/>
      </w:rPr>
      <w:t>, научный эксперт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C1"/>
    <w:rsid w:val="00052FFC"/>
    <w:rsid w:val="000C4345"/>
    <w:rsid w:val="000F59D7"/>
    <w:rsid w:val="001C1424"/>
    <w:rsid w:val="0032062D"/>
    <w:rsid w:val="00335416"/>
    <w:rsid w:val="00397BCC"/>
    <w:rsid w:val="004E7EE5"/>
    <w:rsid w:val="0051534F"/>
    <w:rsid w:val="00871A68"/>
    <w:rsid w:val="008737FB"/>
    <w:rsid w:val="008929C1"/>
    <w:rsid w:val="008D0E8D"/>
    <w:rsid w:val="008D3EEB"/>
    <w:rsid w:val="00A4508E"/>
    <w:rsid w:val="00A6332C"/>
    <w:rsid w:val="00AC5F5F"/>
    <w:rsid w:val="00B3497F"/>
    <w:rsid w:val="00BC7490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35416"/>
    <w:pPr>
      <w:keepNext/>
      <w:keepLines/>
      <w:spacing w:beforeLines="20" w:before="48" w:afterLines="200" w:after="480" w:line="360" w:lineRule="auto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16"/>
    <w:rPr>
      <w:rFonts w:ascii="Times New Roman" w:eastAsiaTheme="majorEastAsia" w:hAnsi="Times New Roman" w:cs="Times New Roman"/>
      <w:b/>
      <w:sz w:val="32"/>
      <w:szCs w:val="32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335416"/>
    <w:pPr>
      <w:numPr>
        <w:ilvl w:val="1"/>
      </w:numPr>
      <w:spacing w:afterLines="200" w:after="480" w:line="360" w:lineRule="auto"/>
    </w:pPr>
    <w:rPr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33541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35416"/>
    <w:pPr>
      <w:keepNext/>
      <w:keepLines/>
      <w:spacing w:beforeLines="20" w:before="48" w:afterLines="200" w:after="480" w:line="360" w:lineRule="auto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416"/>
    <w:rPr>
      <w:rFonts w:ascii="Times New Roman" w:eastAsiaTheme="majorEastAsia" w:hAnsi="Times New Roman" w:cs="Times New Roman"/>
      <w:b/>
      <w:sz w:val="32"/>
      <w:szCs w:val="32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335416"/>
    <w:pPr>
      <w:numPr>
        <w:ilvl w:val="1"/>
      </w:numPr>
      <w:spacing w:afterLines="200" w:after="480" w:line="360" w:lineRule="auto"/>
    </w:pPr>
    <w:rPr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33541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F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2016-08-20T12:01:00Z</cp:lastPrinted>
  <dcterms:created xsi:type="dcterms:W3CDTF">2016-08-20T12:04:00Z</dcterms:created>
  <dcterms:modified xsi:type="dcterms:W3CDTF">2016-08-20T17:23:00Z</dcterms:modified>
</cp:coreProperties>
</file>